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2D46D3" w:rsidP="00971491">
      <w:pPr>
        <w:jc w:val="center"/>
        <w:rPr>
          <w:b/>
          <w:i/>
        </w:rPr>
      </w:pPr>
      <w:r w:rsidRPr="002D46D3">
        <w:rPr>
          <w:b/>
          <w:i/>
        </w:rPr>
        <w:t>Ght_PRES_2025-186_CS_Exploitation De Cafeteria – Restauration Rapide – Boutique – Point Presse</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/profesionnel</w:t>
      </w:r>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2D46D3"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2D46D3"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2D46D3"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D46D3"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D46D3"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D46D3"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/profesionnelles</w:t>
      </w:r>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2D46D3"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D46D3"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2D46D3"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D46D3"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D46D3"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D46D3"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D46D3"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D46D3"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lastRenderedPageBreak/>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désignature d’un DPO, </w:t>
      </w:r>
      <w:r>
        <w:rPr>
          <w:rFonts w:cstheme="minorHAnsi"/>
          <w:bCs/>
          <w:i/>
        </w:rPr>
        <w:t>mesures de cyber-sécurité, formations, mots de passe complexes, serveur  sécurisés,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D46D3"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2D46D3"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2D46D3"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2D46D3"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2D46D3"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2D46D3"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2D46D3"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2D46D3"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2D46D3"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2D46D3"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w:t>
      </w:r>
      <w:r>
        <w:lastRenderedPageBreak/>
        <w:t xml:space="preserve">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2D46D3"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6D3"/>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2E83A-CE59-48BC-A562-E6DCE320D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3289</Words>
  <Characters>18091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2025-08-13T09:42:00Z</dcterms:modified>
</cp:coreProperties>
</file>